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6768" w14:textId="77777777" w:rsidR="00966B24" w:rsidRDefault="00966B24" w:rsidP="00966B24">
      <w:pPr>
        <w:spacing w:after="0" w:line="240" w:lineRule="auto"/>
        <w:rPr>
          <w:rFonts w:asciiTheme="majorHAnsi" w:hAnsiTheme="majorHAnsi" w:cstheme="majorHAnsi"/>
        </w:rPr>
      </w:pPr>
      <w:bookmarkStart w:id="0" w:name="_Hlk114831503"/>
      <w:r>
        <w:rPr>
          <w:rFonts w:asciiTheme="majorHAnsi" w:hAnsiTheme="majorHAnsi" w:cstheme="majorHAnsi"/>
        </w:rPr>
        <w:t xml:space="preserve">The Ministry of Justice  </w:t>
      </w:r>
    </w:p>
    <w:p w14:paraId="0DFF064F" w14:textId="77777777" w:rsidR="00966B24" w:rsidRDefault="00966B24" w:rsidP="00966B24">
      <w:pPr>
        <w:spacing w:after="0" w:line="240" w:lineRule="auto"/>
        <w:rPr>
          <w:rFonts w:asciiTheme="majorHAnsi" w:hAnsiTheme="majorHAnsi" w:cstheme="majorHAnsi"/>
        </w:rPr>
      </w:pPr>
    </w:p>
    <w:p w14:paraId="0BA1AC31" w14:textId="77777777" w:rsidR="00966B24" w:rsidRDefault="00966B24" w:rsidP="00966B24">
      <w:pPr>
        <w:spacing w:after="0" w:line="240" w:lineRule="auto"/>
        <w:rPr>
          <w:rFonts w:asciiTheme="majorHAnsi" w:hAnsiTheme="majorHAnsi" w:cstheme="majorHAnsi"/>
        </w:rPr>
      </w:pPr>
    </w:p>
    <w:p w14:paraId="73AB839C" w14:textId="77777777" w:rsidR="00F303BB" w:rsidRPr="00B45303" w:rsidRDefault="00F303BB" w:rsidP="00F303BB">
      <w:pPr>
        <w:tabs>
          <w:tab w:val="left" w:pos="0"/>
          <w:tab w:val="left" w:pos="1700"/>
          <w:tab w:val="left" w:pos="2551"/>
          <w:tab w:val="right" w:pos="9412"/>
        </w:tabs>
        <w:spacing w:line="360" w:lineRule="auto"/>
        <w:ind w:right="1626"/>
        <w:rPr>
          <w:rFonts w:ascii="Calibri Light" w:hAnsi="Calibri Light" w:cs="Calibri Light"/>
          <w:color w:val="171717" w:themeColor="background2" w:themeShade="1A"/>
        </w:rPr>
      </w:pPr>
      <w:r w:rsidRPr="00B45303">
        <w:rPr>
          <w:rFonts w:ascii="Calibri Light" w:hAnsi="Calibri Light" w:cs="Calibri Light"/>
          <w:color w:val="171717" w:themeColor="background2" w:themeShade="1A"/>
        </w:rPr>
        <w:fldChar w:fldCharType="begin"/>
      </w:r>
      <w:r w:rsidRPr="00B45303">
        <w:rPr>
          <w:rFonts w:ascii="Calibri Light" w:hAnsi="Calibri Light" w:cs="Calibri Light"/>
          <w:color w:val="171717" w:themeColor="background2" w:themeShade="1A"/>
        </w:rPr>
        <w:instrText xml:space="preserve"> TIME \@ "d MMMM yyyy" </w:instrText>
      </w:r>
      <w:r w:rsidRPr="00B45303">
        <w:rPr>
          <w:rFonts w:ascii="Calibri Light" w:hAnsi="Calibri Light" w:cs="Calibri Light"/>
          <w:color w:val="171717" w:themeColor="background2" w:themeShade="1A"/>
        </w:rPr>
        <w:fldChar w:fldCharType="separate"/>
      </w:r>
      <w:r>
        <w:rPr>
          <w:rFonts w:ascii="Calibri Light" w:hAnsi="Calibri Light" w:cs="Calibri Light"/>
          <w:noProof/>
          <w:color w:val="171717" w:themeColor="background2" w:themeShade="1A"/>
          <w:lang w:eastAsia="en-NZ"/>
        </w:rPr>
        <w:t>25 September 2022</w:t>
      </w:r>
      <w:r w:rsidRPr="00B45303">
        <w:rPr>
          <w:rFonts w:ascii="Calibri Light" w:hAnsi="Calibri Light" w:cs="Calibri Light"/>
          <w:color w:val="171717" w:themeColor="background2" w:themeShade="1A"/>
        </w:rPr>
        <w:fldChar w:fldCharType="end"/>
      </w:r>
    </w:p>
    <w:p w14:paraId="600F2B65" w14:textId="77777777" w:rsidR="00966B24" w:rsidRDefault="00966B24" w:rsidP="00966B24">
      <w:pPr>
        <w:pStyle w:val="ListParagraph"/>
        <w:spacing w:line="360" w:lineRule="auto"/>
        <w:ind w:left="1701"/>
        <w:rPr>
          <w:rFonts w:asciiTheme="majorHAnsi" w:hAnsiTheme="majorHAnsi" w:cstheme="majorHAnsi"/>
        </w:rPr>
      </w:pPr>
    </w:p>
    <w:p w14:paraId="4100B1A2" w14:textId="77777777" w:rsidR="00966B24" w:rsidRDefault="00966B24" w:rsidP="00966B24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To whom it may concern </w:t>
      </w:r>
    </w:p>
    <w:p w14:paraId="52AB7BED" w14:textId="77777777" w:rsidR="00966B24" w:rsidRPr="00FF35B7" w:rsidRDefault="00966B24" w:rsidP="00966B24">
      <w:pPr>
        <w:spacing w:line="360" w:lineRule="auto"/>
        <w:rPr>
          <w:rFonts w:asciiTheme="majorHAnsi" w:hAnsiTheme="majorHAnsi" w:cstheme="majorHAnsi"/>
          <w:b/>
          <w:bCs/>
        </w:rPr>
      </w:pPr>
      <w:r w:rsidRPr="00FF35B7">
        <w:rPr>
          <w:rFonts w:asciiTheme="majorHAnsi" w:hAnsiTheme="majorHAnsi" w:cstheme="majorHAnsi"/>
          <w:b/>
          <w:bCs/>
        </w:rPr>
        <w:t>Coroners Amendment Bill - Submissions</w:t>
      </w:r>
    </w:p>
    <w:p w14:paraId="26AFFEB7" w14:textId="593ECC5F" w:rsidR="00966B24" w:rsidRDefault="00F303BB" w:rsidP="00966B24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</w:t>
      </w:r>
      <w:r w:rsidR="00966B24">
        <w:rPr>
          <w:rFonts w:asciiTheme="majorHAnsi" w:hAnsiTheme="majorHAnsi" w:cstheme="majorHAnsi"/>
        </w:rPr>
        <w:t xml:space="preserve">purpose of the </w:t>
      </w:r>
      <w:r w:rsidR="00966B24">
        <w:rPr>
          <w:rFonts w:asciiTheme="majorHAnsi" w:hAnsiTheme="majorHAnsi" w:cstheme="majorHAnsi"/>
        </w:rPr>
        <w:t xml:space="preserve">Coroners Act 2006 </w:t>
      </w:r>
      <w:r>
        <w:rPr>
          <w:rFonts w:asciiTheme="majorHAnsi" w:hAnsiTheme="majorHAnsi" w:cstheme="majorHAnsi"/>
        </w:rPr>
        <w:t xml:space="preserve">requires the </w:t>
      </w:r>
      <w:r w:rsidR="00A90A0A">
        <w:rPr>
          <w:rFonts w:asciiTheme="majorHAnsi" w:hAnsiTheme="majorHAnsi" w:cstheme="majorHAnsi"/>
        </w:rPr>
        <w:t xml:space="preserve">coroner </w:t>
      </w:r>
      <w:r w:rsidR="00966B24">
        <w:rPr>
          <w:rFonts w:asciiTheme="majorHAnsi" w:hAnsiTheme="majorHAnsi" w:cstheme="majorHAnsi"/>
        </w:rPr>
        <w:t>to investigat</w:t>
      </w:r>
      <w:r w:rsidR="00A90A0A">
        <w:rPr>
          <w:rFonts w:asciiTheme="majorHAnsi" w:hAnsiTheme="majorHAnsi" w:cstheme="majorHAnsi"/>
        </w:rPr>
        <w:t>e</w:t>
      </w:r>
      <w:r w:rsidR="00966B24">
        <w:rPr>
          <w:rFonts w:asciiTheme="majorHAnsi" w:hAnsiTheme="majorHAnsi" w:cstheme="majorHAnsi"/>
        </w:rPr>
        <w:t xml:space="preserve"> sudden deaths and mak</w:t>
      </w:r>
      <w:r w:rsidR="00A90A0A">
        <w:rPr>
          <w:rFonts w:asciiTheme="majorHAnsi" w:hAnsiTheme="majorHAnsi" w:cstheme="majorHAnsi"/>
        </w:rPr>
        <w:t>e</w:t>
      </w:r>
      <w:r w:rsidR="00966B24">
        <w:rPr>
          <w:rFonts w:asciiTheme="majorHAnsi" w:hAnsiTheme="majorHAnsi" w:cstheme="majorHAnsi"/>
        </w:rPr>
        <w:t xml:space="preserve"> recommendations or comments that, if drawn to public attention, may reduce the chances of similar death</w:t>
      </w:r>
      <w:r w:rsidR="00A90A0A">
        <w:rPr>
          <w:rFonts w:asciiTheme="majorHAnsi" w:hAnsiTheme="majorHAnsi" w:cstheme="majorHAnsi"/>
        </w:rPr>
        <w:t>s</w:t>
      </w:r>
      <w:r w:rsidR="00966B24">
        <w:rPr>
          <w:rFonts w:asciiTheme="majorHAnsi" w:hAnsiTheme="majorHAnsi" w:cstheme="majorHAnsi"/>
        </w:rPr>
        <w:t xml:space="preserve">. </w:t>
      </w:r>
    </w:p>
    <w:p w14:paraId="406BFEA6" w14:textId="77777777" w:rsidR="00966B24" w:rsidRDefault="00966B24" w:rsidP="00966B24">
      <w:pPr>
        <w:pStyle w:val="ListParagraph"/>
        <w:spacing w:line="360" w:lineRule="auto"/>
        <w:ind w:left="567"/>
        <w:rPr>
          <w:rFonts w:asciiTheme="majorHAnsi" w:hAnsiTheme="majorHAnsi" w:cstheme="majorHAnsi"/>
        </w:rPr>
      </w:pPr>
    </w:p>
    <w:p w14:paraId="26E7C9C9" w14:textId="00EB1EAE" w:rsidR="00966B24" w:rsidRPr="00966B24" w:rsidRDefault="00966B24" w:rsidP="00966B24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 oppose the </w:t>
      </w:r>
      <w:r>
        <w:rPr>
          <w:rFonts w:asciiTheme="majorHAnsi" w:hAnsiTheme="majorHAnsi" w:cstheme="majorHAnsi"/>
        </w:rPr>
        <w:t>Coroners Amendment Bill</w:t>
      </w:r>
      <w:r w:rsidR="00F303BB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F303BB">
        <w:rPr>
          <w:rFonts w:asciiTheme="majorHAnsi" w:hAnsiTheme="majorHAnsi" w:cstheme="majorHAnsi"/>
        </w:rPr>
        <w:t xml:space="preserve">which will </w:t>
      </w:r>
      <w:r w:rsidR="00A90A0A">
        <w:rPr>
          <w:rFonts w:asciiTheme="majorHAnsi" w:hAnsiTheme="majorHAnsi" w:cstheme="majorHAnsi"/>
        </w:rPr>
        <w:t xml:space="preserve">allow the </w:t>
      </w:r>
      <w:r w:rsidRPr="00966B24">
        <w:rPr>
          <w:rFonts w:asciiTheme="majorHAnsi" w:hAnsiTheme="majorHAnsi" w:cstheme="majorHAnsi"/>
        </w:rPr>
        <w:t>coroner to record the cause of death as "</w:t>
      </w:r>
      <w:r w:rsidRPr="00966B24">
        <w:rPr>
          <w:rFonts w:asciiTheme="majorHAnsi" w:hAnsiTheme="majorHAnsi" w:cstheme="majorHAnsi"/>
          <w:i/>
          <w:iCs/>
        </w:rPr>
        <w:t>unascertained natural causes</w:t>
      </w:r>
      <w:r w:rsidRPr="00966B24">
        <w:rPr>
          <w:rFonts w:asciiTheme="majorHAnsi" w:hAnsiTheme="majorHAnsi" w:cstheme="majorHAnsi"/>
        </w:rPr>
        <w:t xml:space="preserve">" if the coroner considers that: </w:t>
      </w:r>
    </w:p>
    <w:p w14:paraId="2534EC67" w14:textId="77777777" w:rsidR="00966B24" w:rsidRPr="00C86F13" w:rsidRDefault="00966B24" w:rsidP="00966B24">
      <w:pPr>
        <w:pStyle w:val="ListParagraph"/>
        <w:spacing w:line="360" w:lineRule="auto"/>
        <w:ind w:left="567"/>
        <w:rPr>
          <w:rFonts w:asciiTheme="majorHAnsi" w:hAnsiTheme="majorHAnsi" w:cstheme="majorHAnsi"/>
          <w:i/>
          <w:iCs/>
        </w:rPr>
      </w:pPr>
    </w:p>
    <w:p w14:paraId="7A5DF0B9" w14:textId="77777777" w:rsidR="00966B24" w:rsidRPr="00C86F13" w:rsidRDefault="00966B24" w:rsidP="00966B24">
      <w:pPr>
        <w:pStyle w:val="ListParagraph"/>
        <w:numPr>
          <w:ilvl w:val="0"/>
          <w:numId w:val="8"/>
        </w:numPr>
        <w:spacing w:line="360" w:lineRule="auto"/>
        <w:ind w:left="1701" w:hanging="567"/>
        <w:rPr>
          <w:rFonts w:asciiTheme="majorHAnsi" w:hAnsiTheme="majorHAnsi" w:cstheme="majorHAnsi"/>
          <w:i/>
          <w:iCs/>
        </w:rPr>
      </w:pPr>
      <w:r w:rsidRPr="00C86F13">
        <w:rPr>
          <w:rFonts w:asciiTheme="majorHAnsi" w:hAnsiTheme="majorHAnsi" w:cstheme="majorHAnsi"/>
          <w:i/>
          <w:iCs/>
        </w:rPr>
        <w:t>the death is from natural causes; and</w:t>
      </w:r>
    </w:p>
    <w:p w14:paraId="00E8EA16" w14:textId="4F7AB5F8" w:rsidR="00966B24" w:rsidRDefault="00966B24" w:rsidP="00966B24">
      <w:pPr>
        <w:pStyle w:val="ListParagraph"/>
        <w:numPr>
          <w:ilvl w:val="0"/>
          <w:numId w:val="8"/>
        </w:numPr>
        <w:spacing w:line="360" w:lineRule="auto"/>
        <w:ind w:left="1701" w:hanging="567"/>
        <w:rPr>
          <w:rFonts w:asciiTheme="majorHAnsi" w:hAnsiTheme="majorHAnsi" w:cstheme="majorHAnsi"/>
          <w:i/>
          <w:iCs/>
        </w:rPr>
      </w:pPr>
      <w:r w:rsidRPr="00C86F13">
        <w:rPr>
          <w:rFonts w:asciiTheme="majorHAnsi" w:hAnsiTheme="majorHAnsi" w:cstheme="majorHAnsi"/>
          <w:i/>
          <w:iCs/>
        </w:rPr>
        <w:t>no further investigation is required.</w:t>
      </w:r>
    </w:p>
    <w:p w14:paraId="31A3D7D1" w14:textId="77777777" w:rsidR="00D51CF4" w:rsidRPr="00C86F13" w:rsidRDefault="00D51CF4" w:rsidP="00D51CF4">
      <w:pPr>
        <w:pStyle w:val="ListParagraph"/>
        <w:spacing w:line="360" w:lineRule="auto"/>
        <w:ind w:left="1701"/>
        <w:rPr>
          <w:rFonts w:asciiTheme="majorHAnsi" w:hAnsiTheme="majorHAnsi" w:cstheme="majorHAnsi"/>
          <w:i/>
          <w:iCs/>
        </w:rPr>
      </w:pPr>
    </w:p>
    <w:p w14:paraId="36218754" w14:textId="3BD0E8B3" w:rsidR="00966B24" w:rsidRDefault="00D51CF4" w:rsidP="00D51CF4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coroner is not required to consider any set factors when making this decision</w:t>
      </w:r>
      <w:r w:rsidR="00F303BB">
        <w:rPr>
          <w:rFonts w:asciiTheme="majorHAnsi" w:hAnsiTheme="majorHAnsi" w:cstheme="majorHAnsi"/>
        </w:rPr>
        <w:t xml:space="preserve"> or </w:t>
      </w:r>
      <w:r w:rsidR="00966B24" w:rsidRPr="00D51CF4">
        <w:rPr>
          <w:rFonts w:asciiTheme="majorHAnsi" w:hAnsiTheme="majorHAnsi" w:cstheme="majorHAnsi"/>
        </w:rPr>
        <w:t xml:space="preserve">provide information regarding the circumstances of the death if the coroner considers there is no public interest in doing so. </w:t>
      </w:r>
    </w:p>
    <w:p w14:paraId="4D6AAFA9" w14:textId="77777777" w:rsidR="00D51CF4" w:rsidRDefault="00D51CF4" w:rsidP="00D51CF4">
      <w:pPr>
        <w:pStyle w:val="ListParagraph"/>
        <w:spacing w:line="360" w:lineRule="auto"/>
        <w:ind w:left="567"/>
        <w:rPr>
          <w:rFonts w:asciiTheme="majorHAnsi" w:hAnsiTheme="majorHAnsi" w:cstheme="majorHAnsi"/>
        </w:rPr>
      </w:pPr>
    </w:p>
    <w:p w14:paraId="2B289526" w14:textId="742C443E" w:rsidR="00D51CF4" w:rsidRPr="00D51CF4" w:rsidRDefault="00D51CF4" w:rsidP="00D51CF4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Theme="majorHAnsi" w:hAnsiTheme="majorHAnsi" w:cstheme="majorHAnsi"/>
        </w:rPr>
      </w:pPr>
      <w:r w:rsidRPr="00D51CF4">
        <w:rPr>
          <w:rFonts w:asciiTheme="majorHAnsi" w:hAnsiTheme="majorHAnsi" w:cstheme="majorHAnsi"/>
        </w:rPr>
        <w:t>A</w:t>
      </w:r>
      <w:r w:rsidRPr="00D51CF4">
        <w:rPr>
          <w:rFonts w:asciiTheme="majorHAnsi" w:hAnsiTheme="majorHAnsi" w:cstheme="majorHAnsi"/>
        </w:rPr>
        <w:t xml:space="preserve"> coroner </w:t>
      </w:r>
      <w:r w:rsidRPr="00D51CF4">
        <w:rPr>
          <w:rFonts w:asciiTheme="majorHAnsi" w:hAnsiTheme="majorHAnsi" w:cstheme="majorHAnsi"/>
        </w:rPr>
        <w:t>has legal</w:t>
      </w:r>
      <w:r>
        <w:rPr>
          <w:rFonts w:asciiTheme="majorHAnsi" w:hAnsiTheme="majorHAnsi" w:cstheme="majorHAnsi"/>
        </w:rPr>
        <w:t>,</w:t>
      </w:r>
      <w:r w:rsidRPr="00D51CF4">
        <w:rPr>
          <w:rFonts w:asciiTheme="majorHAnsi" w:hAnsiTheme="majorHAnsi" w:cstheme="majorHAnsi"/>
        </w:rPr>
        <w:t xml:space="preserve"> not </w:t>
      </w:r>
      <w:r w:rsidRPr="00D51CF4">
        <w:rPr>
          <w:rFonts w:asciiTheme="majorHAnsi" w:hAnsiTheme="majorHAnsi" w:cstheme="majorHAnsi"/>
        </w:rPr>
        <w:t>medical</w:t>
      </w:r>
      <w:r>
        <w:rPr>
          <w:rFonts w:asciiTheme="majorHAnsi" w:hAnsiTheme="majorHAnsi" w:cstheme="majorHAnsi"/>
        </w:rPr>
        <w:t>,</w:t>
      </w:r>
      <w:r w:rsidRPr="00D51CF4">
        <w:rPr>
          <w:rFonts w:asciiTheme="majorHAnsi" w:hAnsiTheme="majorHAnsi" w:cstheme="majorHAnsi"/>
        </w:rPr>
        <w:t xml:space="preserve"> qualifications.</w:t>
      </w:r>
      <w:r>
        <w:rPr>
          <w:rFonts w:asciiTheme="majorHAnsi" w:hAnsiTheme="majorHAnsi" w:cstheme="majorHAnsi"/>
        </w:rPr>
        <w:t xml:space="preserve"> A</w:t>
      </w:r>
      <w:r w:rsidRPr="00D51CF4">
        <w:rPr>
          <w:rFonts w:asciiTheme="majorHAnsi" w:hAnsiTheme="majorHAnsi" w:cstheme="majorHAnsi"/>
        </w:rPr>
        <w:t xml:space="preserve"> pathologist </w:t>
      </w:r>
      <w:r>
        <w:rPr>
          <w:rFonts w:asciiTheme="majorHAnsi" w:hAnsiTheme="majorHAnsi" w:cstheme="majorHAnsi"/>
        </w:rPr>
        <w:t xml:space="preserve">should be </w:t>
      </w:r>
      <w:r w:rsidRPr="00D51CF4">
        <w:rPr>
          <w:rFonts w:asciiTheme="majorHAnsi" w:hAnsiTheme="majorHAnsi" w:cstheme="majorHAnsi"/>
        </w:rPr>
        <w:t xml:space="preserve">involved in the decision to understand the cause and circumstances of the death. </w:t>
      </w:r>
    </w:p>
    <w:p w14:paraId="3F516F84" w14:textId="77777777" w:rsidR="00966B24" w:rsidRPr="006E786D" w:rsidRDefault="00966B24" w:rsidP="00966B24">
      <w:pPr>
        <w:pStyle w:val="ListParagraph"/>
        <w:spacing w:line="360" w:lineRule="auto"/>
        <w:ind w:left="567"/>
        <w:rPr>
          <w:rFonts w:asciiTheme="majorHAnsi" w:hAnsiTheme="majorHAnsi" w:cstheme="majorHAnsi"/>
        </w:rPr>
      </w:pPr>
    </w:p>
    <w:p w14:paraId="4602E0B0" w14:textId="77777777" w:rsidR="00A90A0A" w:rsidRDefault="00966B24" w:rsidP="00A90A0A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Theme="majorHAnsi" w:hAnsiTheme="majorHAnsi" w:cstheme="majorHAnsi"/>
        </w:rPr>
      </w:pPr>
      <w:r w:rsidRPr="005D7888">
        <w:rPr>
          <w:rFonts w:asciiTheme="majorHAnsi" w:hAnsiTheme="majorHAnsi" w:cstheme="majorHAnsi"/>
        </w:rPr>
        <w:t>T</w:t>
      </w:r>
      <w:r w:rsidR="00D51CF4">
        <w:rPr>
          <w:rFonts w:asciiTheme="majorHAnsi" w:hAnsiTheme="majorHAnsi" w:cstheme="majorHAnsi"/>
        </w:rPr>
        <w:t xml:space="preserve">wo of the stated purposes of the Bill are to enable families and </w:t>
      </w:r>
      <w:proofErr w:type="spellStart"/>
      <w:r w:rsidR="00D51CF4">
        <w:rPr>
          <w:rFonts w:asciiTheme="majorHAnsi" w:hAnsiTheme="majorHAnsi" w:cstheme="majorHAnsi"/>
        </w:rPr>
        <w:t>whānau</w:t>
      </w:r>
      <w:proofErr w:type="spellEnd"/>
      <w:r w:rsidR="00D51CF4">
        <w:rPr>
          <w:rFonts w:asciiTheme="majorHAnsi" w:hAnsiTheme="majorHAnsi" w:cstheme="majorHAnsi"/>
        </w:rPr>
        <w:t xml:space="preserve"> to receive a coroner's findings sooner and free</w:t>
      </w:r>
      <w:r w:rsidRPr="00D51CF4">
        <w:rPr>
          <w:rFonts w:asciiTheme="majorHAnsi" w:hAnsiTheme="majorHAnsi" w:cstheme="majorHAnsi"/>
        </w:rPr>
        <w:t xml:space="preserve"> up </w:t>
      </w:r>
      <w:r w:rsidR="00D51CF4" w:rsidRPr="00D51CF4">
        <w:rPr>
          <w:rFonts w:asciiTheme="majorHAnsi" w:hAnsiTheme="majorHAnsi" w:cstheme="majorHAnsi"/>
        </w:rPr>
        <w:t xml:space="preserve">the </w:t>
      </w:r>
      <w:r w:rsidRPr="00D51CF4">
        <w:rPr>
          <w:rFonts w:asciiTheme="majorHAnsi" w:hAnsiTheme="majorHAnsi" w:cstheme="majorHAnsi"/>
        </w:rPr>
        <w:t xml:space="preserve">coroners' time to work on reducing the number of active coronial cases. </w:t>
      </w:r>
      <w:r w:rsidR="00A90A0A">
        <w:rPr>
          <w:rFonts w:asciiTheme="majorHAnsi" w:hAnsiTheme="majorHAnsi" w:cstheme="majorHAnsi"/>
        </w:rPr>
        <w:t xml:space="preserve">While I appreciate the importance of these two purposes, </w:t>
      </w:r>
      <w:r w:rsidR="00D51CF4" w:rsidRPr="00A90A0A">
        <w:rPr>
          <w:rFonts w:asciiTheme="majorHAnsi" w:hAnsiTheme="majorHAnsi" w:cstheme="majorHAnsi"/>
        </w:rPr>
        <w:t xml:space="preserve">there </w:t>
      </w:r>
      <w:r w:rsidRPr="00A90A0A">
        <w:rPr>
          <w:rFonts w:asciiTheme="majorHAnsi" w:hAnsiTheme="majorHAnsi" w:cstheme="majorHAnsi"/>
        </w:rPr>
        <w:t>is a real risk that the amendment will result in sudden deaths not being investigated</w:t>
      </w:r>
      <w:r w:rsidR="00D51CF4" w:rsidRPr="00A90A0A">
        <w:rPr>
          <w:rFonts w:asciiTheme="majorHAnsi" w:hAnsiTheme="majorHAnsi" w:cstheme="majorHAnsi"/>
        </w:rPr>
        <w:t xml:space="preserve">. </w:t>
      </w:r>
    </w:p>
    <w:p w14:paraId="77728CF6" w14:textId="77777777" w:rsidR="00A90A0A" w:rsidRPr="00A90A0A" w:rsidRDefault="00A90A0A" w:rsidP="00A90A0A">
      <w:pPr>
        <w:pStyle w:val="ListParagraph"/>
        <w:rPr>
          <w:rFonts w:asciiTheme="majorHAnsi" w:hAnsiTheme="majorHAnsi" w:cstheme="majorHAnsi"/>
        </w:rPr>
      </w:pPr>
    </w:p>
    <w:p w14:paraId="0AF96D5F" w14:textId="42E28B2A" w:rsidR="00D51CF4" w:rsidRPr="00A90A0A" w:rsidRDefault="00D51CF4" w:rsidP="00A90A0A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Theme="majorHAnsi" w:hAnsiTheme="majorHAnsi" w:cstheme="majorHAnsi"/>
        </w:rPr>
      </w:pPr>
      <w:r w:rsidRPr="00A90A0A">
        <w:rPr>
          <w:rFonts w:asciiTheme="majorHAnsi" w:hAnsiTheme="majorHAnsi" w:cstheme="majorHAnsi"/>
        </w:rPr>
        <w:t>Th</w:t>
      </w:r>
      <w:r w:rsidR="00F303BB">
        <w:rPr>
          <w:rFonts w:asciiTheme="majorHAnsi" w:hAnsiTheme="majorHAnsi" w:cstheme="majorHAnsi"/>
        </w:rPr>
        <w:t xml:space="preserve">e proposed </w:t>
      </w:r>
      <w:r w:rsidR="00A90A0A">
        <w:rPr>
          <w:rFonts w:asciiTheme="majorHAnsi" w:hAnsiTheme="majorHAnsi" w:cstheme="majorHAnsi"/>
        </w:rPr>
        <w:t xml:space="preserve">amendment </w:t>
      </w:r>
      <w:r w:rsidRPr="00A90A0A">
        <w:rPr>
          <w:rFonts w:asciiTheme="majorHAnsi" w:hAnsiTheme="majorHAnsi" w:cstheme="majorHAnsi"/>
        </w:rPr>
        <w:t>does not serve the public interest given</w:t>
      </w:r>
      <w:r w:rsidR="00F303BB">
        <w:rPr>
          <w:rFonts w:asciiTheme="majorHAnsi" w:hAnsiTheme="majorHAnsi" w:cstheme="majorHAnsi"/>
        </w:rPr>
        <w:t xml:space="preserve"> that</w:t>
      </w:r>
      <w:r w:rsidRPr="00A90A0A">
        <w:rPr>
          <w:rFonts w:asciiTheme="majorHAnsi" w:hAnsiTheme="majorHAnsi" w:cstheme="majorHAnsi"/>
        </w:rPr>
        <w:t xml:space="preserve">: </w:t>
      </w:r>
    </w:p>
    <w:p w14:paraId="1DE59D12" w14:textId="77777777" w:rsidR="00D51CF4" w:rsidRPr="00D51CF4" w:rsidRDefault="00D51CF4" w:rsidP="00D51CF4">
      <w:pPr>
        <w:pStyle w:val="ListParagraph"/>
        <w:rPr>
          <w:rFonts w:asciiTheme="majorHAnsi" w:hAnsiTheme="majorHAnsi" w:cstheme="majorHAnsi"/>
        </w:rPr>
      </w:pPr>
    </w:p>
    <w:p w14:paraId="05FA280C" w14:textId="2412344F" w:rsidR="00966B24" w:rsidRDefault="00966B24" w:rsidP="00D51CF4">
      <w:pPr>
        <w:pStyle w:val="ListParagraph"/>
        <w:numPr>
          <w:ilvl w:val="0"/>
          <w:numId w:val="10"/>
        </w:numPr>
        <w:spacing w:line="360" w:lineRule="auto"/>
        <w:ind w:left="1701" w:hanging="567"/>
        <w:rPr>
          <w:rFonts w:asciiTheme="majorHAnsi" w:hAnsiTheme="majorHAnsi" w:cstheme="majorHAnsi"/>
        </w:rPr>
      </w:pPr>
      <w:r w:rsidRPr="00D51CF4">
        <w:rPr>
          <w:rFonts w:asciiTheme="majorHAnsi" w:hAnsiTheme="majorHAnsi" w:cstheme="majorHAnsi"/>
        </w:rPr>
        <w:t>Sudden Adult Death Syndrome ("</w:t>
      </w:r>
      <w:r w:rsidRPr="00D51CF4">
        <w:rPr>
          <w:rFonts w:asciiTheme="majorHAnsi" w:hAnsiTheme="majorHAnsi" w:cstheme="majorHAnsi"/>
          <w:b/>
          <w:bCs/>
        </w:rPr>
        <w:t>SADS</w:t>
      </w:r>
      <w:r w:rsidRPr="00D51CF4">
        <w:rPr>
          <w:rFonts w:asciiTheme="majorHAnsi" w:hAnsiTheme="majorHAnsi" w:cstheme="majorHAnsi"/>
        </w:rPr>
        <w:t xml:space="preserve">") </w:t>
      </w:r>
      <w:r w:rsidR="00A90A0A">
        <w:rPr>
          <w:rFonts w:asciiTheme="majorHAnsi" w:hAnsiTheme="majorHAnsi" w:cstheme="majorHAnsi"/>
        </w:rPr>
        <w:t xml:space="preserve">is </w:t>
      </w:r>
      <w:r w:rsidRPr="00D51CF4">
        <w:rPr>
          <w:rFonts w:asciiTheme="majorHAnsi" w:hAnsiTheme="majorHAnsi" w:cstheme="majorHAnsi"/>
        </w:rPr>
        <w:t>being reported</w:t>
      </w:r>
      <w:r w:rsidR="00D51CF4" w:rsidRPr="00D51CF4">
        <w:rPr>
          <w:rFonts w:asciiTheme="majorHAnsi" w:hAnsiTheme="majorHAnsi" w:cstheme="majorHAnsi"/>
        </w:rPr>
        <w:t xml:space="preserve"> worldwide; </w:t>
      </w:r>
      <w:r w:rsidR="00F303BB">
        <w:rPr>
          <w:rFonts w:asciiTheme="majorHAnsi" w:hAnsiTheme="majorHAnsi" w:cstheme="majorHAnsi"/>
        </w:rPr>
        <w:t>and</w:t>
      </w:r>
    </w:p>
    <w:p w14:paraId="5364FE07" w14:textId="1AE41D62" w:rsidR="00D51CF4" w:rsidRDefault="00D51CF4" w:rsidP="00D51CF4">
      <w:pPr>
        <w:pStyle w:val="ListParagraph"/>
        <w:numPr>
          <w:ilvl w:val="0"/>
          <w:numId w:val="10"/>
        </w:numPr>
        <w:spacing w:line="360" w:lineRule="auto"/>
        <w:ind w:left="1701" w:hanging="567"/>
        <w:rPr>
          <w:rFonts w:asciiTheme="majorHAnsi" w:hAnsiTheme="majorHAnsi" w:cstheme="majorHAnsi"/>
        </w:rPr>
      </w:pPr>
      <w:r w:rsidRPr="00D51CF4">
        <w:rPr>
          <w:rFonts w:asciiTheme="majorHAnsi" w:hAnsiTheme="majorHAnsi" w:cstheme="majorHAnsi"/>
        </w:rPr>
        <w:t>The</w:t>
      </w:r>
      <w:r w:rsidR="00F303BB">
        <w:rPr>
          <w:rFonts w:asciiTheme="majorHAnsi" w:hAnsiTheme="majorHAnsi" w:cstheme="majorHAnsi"/>
        </w:rPr>
        <w:t>re is a</w:t>
      </w:r>
      <w:r w:rsidRPr="00D51CF4">
        <w:rPr>
          <w:rFonts w:asciiTheme="majorHAnsi" w:hAnsiTheme="majorHAnsi" w:cstheme="majorHAnsi"/>
        </w:rPr>
        <w:t xml:space="preserve"> sudden increase in </w:t>
      </w:r>
      <w:r w:rsidRPr="00D51CF4">
        <w:rPr>
          <w:rFonts w:asciiTheme="majorHAnsi" w:hAnsiTheme="majorHAnsi" w:cstheme="majorHAnsi"/>
        </w:rPr>
        <w:t xml:space="preserve">all-cause </w:t>
      </w:r>
      <w:r w:rsidRPr="00D51CF4">
        <w:rPr>
          <w:rFonts w:asciiTheme="majorHAnsi" w:hAnsiTheme="majorHAnsi" w:cstheme="majorHAnsi"/>
        </w:rPr>
        <w:t>mortality</w:t>
      </w:r>
      <w:r w:rsidR="00A90A0A">
        <w:rPr>
          <w:rFonts w:asciiTheme="majorHAnsi" w:hAnsiTheme="majorHAnsi" w:cstheme="majorHAnsi"/>
        </w:rPr>
        <w:t>.</w:t>
      </w:r>
      <w:r w:rsidR="00966B24" w:rsidRPr="00D51CF4">
        <w:rPr>
          <w:rFonts w:asciiTheme="majorHAnsi" w:hAnsiTheme="majorHAnsi" w:cstheme="majorHAnsi"/>
        </w:rPr>
        <w:t xml:space="preserve"> </w:t>
      </w:r>
    </w:p>
    <w:p w14:paraId="0DBB3F25" w14:textId="77777777" w:rsidR="00D51CF4" w:rsidRDefault="00D51CF4" w:rsidP="00D51CF4">
      <w:pPr>
        <w:pStyle w:val="ListParagraph"/>
        <w:spacing w:line="360" w:lineRule="auto"/>
        <w:ind w:left="1701"/>
        <w:rPr>
          <w:rFonts w:asciiTheme="majorHAnsi" w:hAnsiTheme="majorHAnsi" w:cstheme="majorHAnsi"/>
        </w:rPr>
      </w:pPr>
    </w:p>
    <w:p w14:paraId="3D399F79" w14:textId="55D264FD" w:rsidR="00966B24" w:rsidRPr="00D51CF4" w:rsidRDefault="00966B24" w:rsidP="00D51CF4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Theme="majorHAnsi" w:hAnsiTheme="majorHAnsi" w:cstheme="majorHAnsi"/>
        </w:rPr>
      </w:pPr>
      <w:proofErr w:type="spellStart"/>
      <w:r w:rsidRPr="00D51CF4">
        <w:rPr>
          <w:rFonts w:asciiTheme="majorHAnsi" w:hAnsiTheme="majorHAnsi" w:cstheme="majorHAnsi"/>
        </w:rPr>
        <w:lastRenderedPageBreak/>
        <w:t>Eurostate</w:t>
      </w:r>
      <w:proofErr w:type="spellEnd"/>
      <w:r w:rsidRPr="00D51CF4">
        <w:rPr>
          <w:rFonts w:asciiTheme="majorHAnsi" w:hAnsiTheme="majorHAnsi" w:cstheme="majorHAnsi"/>
        </w:rPr>
        <w:t xml:space="preserve"> is the statistical office of the European Union. </w:t>
      </w:r>
      <w:proofErr w:type="spellStart"/>
      <w:r w:rsidRPr="00D51CF4">
        <w:rPr>
          <w:rFonts w:asciiTheme="majorHAnsi" w:hAnsiTheme="majorHAnsi" w:cstheme="majorHAnsi"/>
        </w:rPr>
        <w:t>Eurostate</w:t>
      </w:r>
      <w:proofErr w:type="spellEnd"/>
      <w:r w:rsidRPr="00D51CF4">
        <w:rPr>
          <w:rFonts w:asciiTheme="majorHAnsi" w:hAnsiTheme="majorHAnsi" w:cstheme="majorHAnsi"/>
        </w:rPr>
        <w:t xml:space="preserve"> report</w:t>
      </w:r>
      <w:r w:rsidR="00F303BB">
        <w:rPr>
          <w:rFonts w:asciiTheme="majorHAnsi" w:hAnsiTheme="majorHAnsi" w:cstheme="majorHAnsi"/>
        </w:rPr>
        <w:t>s</w:t>
      </w:r>
      <w:r w:rsidR="00D51CF4">
        <w:rPr>
          <w:rFonts w:asciiTheme="majorHAnsi" w:hAnsiTheme="majorHAnsi" w:cstheme="majorHAnsi"/>
        </w:rPr>
        <w:t xml:space="preserve"> that </w:t>
      </w:r>
      <w:r w:rsidR="00D51CF4" w:rsidRPr="00A90A0A">
        <w:rPr>
          <w:rFonts w:asciiTheme="majorHAnsi" w:hAnsiTheme="majorHAnsi" w:cstheme="majorHAnsi"/>
        </w:rPr>
        <w:t xml:space="preserve">excess mortality </w:t>
      </w:r>
      <w:r w:rsidRPr="00A90A0A">
        <w:rPr>
          <w:rFonts w:asciiTheme="majorHAnsi" w:hAnsiTheme="majorHAnsi" w:cstheme="majorHAnsi"/>
        </w:rPr>
        <w:t>climbed to +16% in July 2022 from +7% in June and May</w:t>
      </w:r>
      <w:r w:rsidR="00F303BB">
        <w:rPr>
          <w:rFonts w:asciiTheme="majorHAnsi" w:hAnsiTheme="majorHAnsi" w:cstheme="majorHAnsi"/>
        </w:rPr>
        <w:t xml:space="preserve">. The percentage </w:t>
      </w:r>
      <w:r w:rsidR="00D51CF4" w:rsidRPr="00A90A0A">
        <w:rPr>
          <w:rFonts w:asciiTheme="majorHAnsi" w:hAnsiTheme="majorHAnsi" w:cstheme="majorHAnsi"/>
        </w:rPr>
        <w:t>represent</w:t>
      </w:r>
      <w:r w:rsidR="00F303BB">
        <w:rPr>
          <w:rFonts w:asciiTheme="majorHAnsi" w:hAnsiTheme="majorHAnsi" w:cstheme="majorHAnsi"/>
        </w:rPr>
        <w:t>s</w:t>
      </w:r>
      <w:r w:rsidR="00D51CF4" w:rsidRPr="00A90A0A">
        <w:rPr>
          <w:rFonts w:asciiTheme="majorHAnsi" w:hAnsiTheme="majorHAnsi" w:cstheme="majorHAnsi"/>
        </w:rPr>
        <w:t xml:space="preserve"> </w:t>
      </w:r>
      <w:r w:rsidRPr="00A90A0A">
        <w:rPr>
          <w:rFonts w:asciiTheme="majorHAnsi" w:hAnsiTheme="majorHAnsi" w:cstheme="majorHAnsi"/>
        </w:rPr>
        <w:t>around 53 000 additional deaths in July this year compared with the monthly averages for 2016-2019</w:t>
      </w:r>
      <w:r w:rsidRPr="00A90A0A">
        <w:rPr>
          <w:rStyle w:val="FootnoteReference"/>
          <w:rFonts w:asciiTheme="majorHAnsi" w:hAnsiTheme="majorHAnsi" w:cstheme="majorHAnsi"/>
        </w:rPr>
        <w:footnoteReference w:id="1"/>
      </w:r>
      <w:r w:rsidRPr="00A90A0A">
        <w:rPr>
          <w:rFonts w:asciiTheme="majorHAnsi" w:hAnsiTheme="majorHAnsi" w:cstheme="majorHAnsi"/>
        </w:rPr>
        <w:t>."</w:t>
      </w:r>
      <w:r w:rsidR="00D51CF4">
        <w:rPr>
          <w:rFonts w:asciiTheme="majorHAnsi" w:hAnsiTheme="majorHAnsi" w:cstheme="majorHAnsi"/>
          <w:i/>
          <w:iCs/>
        </w:rPr>
        <w:t xml:space="preserve"> </w:t>
      </w:r>
      <w:r w:rsidRPr="00D51CF4">
        <w:rPr>
          <w:rFonts w:asciiTheme="majorHAnsi" w:hAnsiTheme="majorHAnsi" w:cstheme="majorHAnsi"/>
        </w:rPr>
        <w:t>Professor John Gibson</w:t>
      </w:r>
      <w:r>
        <w:rPr>
          <w:rStyle w:val="FootnoteReference"/>
          <w:rFonts w:asciiTheme="majorHAnsi" w:hAnsiTheme="majorHAnsi" w:cstheme="majorHAnsi"/>
        </w:rPr>
        <w:footnoteReference w:id="2"/>
      </w:r>
      <w:r w:rsidR="00D51CF4">
        <w:rPr>
          <w:rFonts w:asciiTheme="majorHAnsi" w:hAnsiTheme="majorHAnsi" w:cstheme="majorHAnsi"/>
        </w:rPr>
        <w:t xml:space="preserve"> </w:t>
      </w:r>
      <w:r w:rsidR="00A90A0A">
        <w:rPr>
          <w:rFonts w:asciiTheme="majorHAnsi" w:hAnsiTheme="majorHAnsi" w:cstheme="majorHAnsi"/>
        </w:rPr>
        <w:t xml:space="preserve">recently </w:t>
      </w:r>
      <w:r w:rsidR="00D51CF4">
        <w:rPr>
          <w:rFonts w:asciiTheme="majorHAnsi" w:hAnsiTheme="majorHAnsi" w:cstheme="majorHAnsi"/>
        </w:rPr>
        <w:t>reviewed</w:t>
      </w:r>
      <w:r w:rsidRPr="00D51CF4">
        <w:rPr>
          <w:rFonts w:asciiTheme="majorHAnsi" w:hAnsiTheme="majorHAnsi" w:cstheme="majorHAnsi"/>
        </w:rPr>
        <w:t xml:space="preserve"> excess deaths per week in New Zealand from April 2020 through July 2022</w:t>
      </w:r>
      <w:r w:rsidR="00A90A0A">
        <w:rPr>
          <w:rFonts w:asciiTheme="majorHAnsi" w:hAnsiTheme="majorHAnsi" w:cstheme="majorHAnsi"/>
        </w:rPr>
        <w:t>. Professor Gibson</w:t>
      </w:r>
      <w:r w:rsidR="00D51CF4">
        <w:rPr>
          <w:rFonts w:asciiTheme="majorHAnsi" w:hAnsiTheme="majorHAnsi" w:cstheme="majorHAnsi"/>
        </w:rPr>
        <w:t xml:space="preserve"> found that there had been </w:t>
      </w:r>
      <w:r w:rsidRPr="00D51CF4">
        <w:rPr>
          <w:rFonts w:asciiTheme="majorHAnsi" w:hAnsiTheme="majorHAnsi" w:cstheme="majorHAnsi"/>
        </w:rPr>
        <w:t>almost 3000 excess deaths in eight months</w:t>
      </w:r>
      <w:r w:rsidR="00A90A0A">
        <w:rPr>
          <w:rFonts w:asciiTheme="majorHAnsi" w:hAnsiTheme="majorHAnsi" w:cstheme="majorHAnsi"/>
        </w:rPr>
        <w:t>,</w:t>
      </w:r>
      <w:r w:rsidR="00D51CF4">
        <w:rPr>
          <w:rFonts w:asciiTheme="majorHAnsi" w:hAnsiTheme="majorHAnsi" w:cstheme="majorHAnsi"/>
        </w:rPr>
        <w:t xml:space="preserve"> </w:t>
      </w:r>
      <w:r w:rsidR="00A90A0A">
        <w:rPr>
          <w:rFonts w:asciiTheme="majorHAnsi" w:hAnsiTheme="majorHAnsi" w:cstheme="majorHAnsi"/>
        </w:rPr>
        <w:t xml:space="preserve">representing </w:t>
      </w:r>
      <w:r w:rsidR="00D51CF4">
        <w:rPr>
          <w:rFonts w:asciiTheme="majorHAnsi" w:hAnsiTheme="majorHAnsi" w:cstheme="majorHAnsi"/>
        </w:rPr>
        <w:t xml:space="preserve">a </w:t>
      </w:r>
      <w:r w:rsidRPr="00D51CF4">
        <w:rPr>
          <w:rFonts w:asciiTheme="majorHAnsi" w:hAnsiTheme="majorHAnsi" w:cstheme="majorHAnsi"/>
        </w:rPr>
        <w:t xml:space="preserve">13% increase. </w:t>
      </w:r>
    </w:p>
    <w:p w14:paraId="1A053BC3" w14:textId="77777777" w:rsidR="00966B24" w:rsidRDefault="00966B24" w:rsidP="00966B24">
      <w:pPr>
        <w:pStyle w:val="ListParagraph"/>
        <w:spacing w:line="360" w:lineRule="auto"/>
        <w:ind w:left="567"/>
        <w:rPr>
          <w:rFonts w:asciiTheme="majorHAnsi" w:hAnsiTheme="majorHAnsi" w:cstheme="majorHAnsi"/>
        </w:rPr>
      </w:pPr>
    </w:p>
    <w:p w14:paraId="030018DA" w14:textId="598D77B4" w:rsidR="00966B24" w:rsidRDefault="00D51CF4" w:rsidP="00966B24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Theme="majorHAnsi" w:hAnsiTheme="majorHAnsi" w:cstheme="majorHAnsi"/>
        </w:rPr>
      </w:pPr>
      <w:r w:rsidRPr="00F303BB">
        <w:rPr>
          <w:rFonts w:asciiTheme="majorHAnsi" w:hAnsiTheme="majorHAnsi" w:cstheme="majorHAnsi"/>
        </w:rPr>
        <w:t xml:space="preserve">As the increase in </w:t>
      </w:r>
      <w:r w:rsidR="00966B24" w:rsidRPr="00F303BB">
        <w:rPr>
          <w:rFonts w:asciiTheme="majorHAnsi" w:hAnsiTheme="majorHAnsi" w:cstheme="majorHAnsi"/>
        </w:rPr>
        <w:t xml:space="preserve">all-cause mortality </w:t>
      </w:r>
      <w:proofErr w:type="spellStart"/>
      <w:r w:rsidRPr="00F303BB">
        <w:rPr>
          <w:rFonts w:asciiTheme="majorHAnsi" w:hAnsiTheme="majorHAnsi" w:cstheme="majorHAnsi"/>
        </w:rPr>
        <w:t>can not</w:t>
      </w:r>
      <w:proofErr w:type="spellEnd"/>
      <w:r w:rsidRPr="00F303BB">
        <w:rPr>
          <w:rFonts w:asciiTheme="majorHAnsi" w:hAnsiTheme="majorHAnsi" w:cstheme="majorHAnsi"/>
        </w:rPr>
        <w:t xml:space="preserve"> be explained by Covid-19 death</w:t>
      </w:r>
      <w:r w:rsidR="00A90A0A" w:rsidRPr="00F303BB">
        <w:rPr>
          <w:rFonts w:asciiTheme="majorHAnsi" w:hAnsiTheme="majorHAnsi" w:cstheme="majorHAnsi"/>
        </w:rPr>
        <w:t>s</w:t>
      </w:r>
      <w:r w:rsidRPr="00F303BB">
        <w:rPr>
          <w:rFonts w:asciiTheme="majorHAnsi" w:hAnsiTheme="majorHAnsi" w:cstheme="majorHAnsi"/>
        </w:rPr>
        <w:t>, the coroner needs to consider the impact of the vaccine</w:t>
      </w:r>
      <w:r w:rsidR="00A90A0A" w:rsidRPr="00F303BB">
        <w:rPr>
          <w:rFonts w:asciiTheme="majorHAnsi" w:hAnsiTheme="majorHAnsi" w:cstheme="majorHAnsi"/>
        </w:rPr>
        <w:t xml:space="preserve">. The vaccine is </w:t>
      </w:r>
      <w:r w:rsidRPr="00F303BB">
        <w:rPr>
          <w:rFonts w:asciiTheme="majorHAnsi" w:hAnsiTheme="majorHAnsi" w:cstheme="majorHAnsi"/>
        </w:rPr>
        <w:t xml:space="preserve">known to cause death and result in diseases which can lead to death. </w:t>
      </w:r>
    </w:p>
    <w:p w14:paraId="6EC39CF6" w14:textId="77777777" w:rsidR="00F303BB" w:rsidRPr="00F303BB" w:rsidRDefault="00F303BB" w:rsidP="00F303BB">
      <w:pPr>
        <w:pStyle w:val="ListParagraph"/>
        <w:rPr>
          <w:rFonts w:asciiTheme="majorHAnsi" w:hAnsiTheme="majorHAnsi" w:cstheme="majorHAnsi"/>
        </w:rPr>
      </w:pPr>
    </w:p>
    <w:p w14:paraId="16FD4BB9" w14:textId="57FEFB0B" w:rsidR="00966B24" w:rsidRPr="00631343" w:rsidRDefault="00A90A0A" w:rsidP="00966B24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Before releasing</w:t>
      </w:r>
      <w:r w:rsidR="00966B24" w:rsidRPr="00631343">
        <w:rPr>
          <w:rFonts w:asciiTheme="majorHAnsi" w:hAnsiTheme="majorHAnsi" w:cstheme="majorHAnsi"/>
        </w:rPr>
        <w:t xml:space="preserve"> the vaccine in New Zealand, the</w:t>
      </w:r>
      <w:r w:rsidR="00966B24">
        <w:rPr>
          <w:rFonts w:asciiTheme="majorHAnsi" w:hAnsiTheme="majorHAnsi" w:cstheme="majorHAnsi"/>
        </w:rPr>
        <w:t xml:space="preserve"> </w:t>
      </w:r>
      <w:r w:rsidR="00966B24" w:rsidRPr="00631343">
        <w:rPr>
          <w:rFonts w:asciiTheme="majorHAnsi" w:hAnsiTheme="majorHAnsi" w:cstheme="majorHAnsi"/>
        </w:rPr>
        <w:t xml:space="preserve">advisory group understood that significant delayed adverse consequences of vaccination </w:t>
      </w:r>
      <w:r w:rsidR="00F303BB">
        <w:rPr>
          <w:rFonts w:asciiTheme="majorHAnsi" w:hAnsiTheme="majorHAnsi" w:cstheme="majorHAnsi"/>
        </w:rPr>
        <w:t xml:space="preserve">could </w:t>
      </w:r>
      <w:r w:rsidR="00966B24" w:rsidRPr="00631343">
        <w:rPr>
          <w:rFonts w:asciiTheme="majorHAnsi" w:hAnsiTheme="majorHAnsi" w:cstheme="majorHAnsi"/>
        </w:rPr>
        <w:t>occur within two months of vaccine receipt. Following the rollout of the mass vaccination</w:t>
      </w:r>
      <w:r w:rsidR="00F303BB">
        <w:rPr>
          <w:rFonts w:asciiTheme="majorHAnsi" w:hAnsiTheme="majorHAnsi" w:cstheme="majorHAnsi"/>
        </w:rPr>
        <w:t>,</w:t>
      </w:r>
      <w:r w:rsidR="00966B24" w:rsidRPr="00631343">
        <w:rPr>
          <w:rFonts w:asciiTheme="majorHAnsi" w:hAnsiTheme="majorHAnsi" w:cstheme="majorHAnsi"/>
        </w:rPr>
        <w:t xml:space="preserve"> the Coroner</w:t>
      </w:r>
      <w:r w:rsidR="00966B24">
        <w:rPr>
          <w:rFonts w:asciiTheme="majorHAnsi" w:hAnsiTheme="majorHAnsi" w:cstheme="majorHAnsi"/>
        </w:rPr>
        <w:t>'</w:t>
      </w:r>
      <w:r w:rsidR="00966B24" w:rsidRPr="00631343">
        <w:rPr>
          <w:rFonts w:asciiTheme="majorHAnsi" w:hAnsiTheme="majorHAnsi" w:cstheme="majorHAnsi"/>
        </w:rPr>
        <w:t xml:space="preserve">s Court advised the MOH that the timeframe could be </w:t>
      </w:r>
      <w:proofErr w:type="gramStart"/>
      <w:r w:rsidR="00966B24" w:rsidRPr="00631343">
        <w:rPr>
          <w:rFonts w:asciiTheme="majorHAnsi" w:hAnsiTheme="majorHAnsi" w:cstheme="majorHAnsi"/>
        </w:rPr>
        <w:t>as long as</w:t>
      </w:r>
      <w:proofErr w:type="gramEnd"/>
      <w:r w:rsidR="00966B24" w:rsidRPr="00631343">
        <w:rPr>
          <w:rFonts w:asciiTheme="majorHAnsi" w:hAnsiTheme="majorHAnsi" w:cstheme="majorHAnsi"/>
        </w:rPr>
        <w:t xml:space="preserve"> 93 days following vaccination. </w:t>
      </w:r>
    </w:p>
    <w:p w14:paraId="0E4EAD1C" w14:textId="77777777" w:rsidR="00966B24" w:rsidRPr="000739B1" w:rsidRDefault="00966B24" w:rsidP="00966B24">
      <w:pPr>
        <w:pStyle w:val="ListParagraph"/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TableGrid"/>
        <w:tblW w:w="9356" w:type="dxa"/>
        <w:tblInd w:w="704" w:type="dxa"/>
        <w:tblLook w:val="04A0" w:firstRow="1" w:lastRow="0" w:firstColumn="1" w:lastColumn="0" w:noHBand="0" w:noVBand="1"/>
      </w:tblPr>
      <w:tblGrid>
        <w:gridCol w:w="9356"/>
      </w:tblGrid>
      <w:tr w:rsidR="00966B24" w:rsidRPr="000739B1" w14:paraId="58246833" w14:textId="77777777" w:rsidTr="00756E7B">
        <w:tc>
          <w:tcPr>
            <w:tcW w:w="9356" w:type="dxa"/>
          </w:tcPr>
          <w:p w14:paraId="7B53C7C9" w14:textId="77777777" w:rsidR="00966B24" w:rsidRPr="000739B1" w:rsidRDefault="00966B24" w:rsidP="00756E7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739B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0A412ED" wp14:editId="4176F2E0">
                  <wp:extent cx="3199456" cy="2318871"/>
                  <wp:effectExtent l="0" t="0" r="0" b="0"/>
                  <wp:docPr id="3" name="Picture 3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text, application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4589" cy="2329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BE41E0" w14:textId="77777777" w:rsidR="00966B24" w:rsidRPr="000739B1" w:rsidRDefault="00966B24" w:rsidP="00966B24">
      <w:pPr>
        <w:pStyle w:val="ListParagraph"/>
        <w:widowControl w:val="0"/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28F1DD95" w14:textId="77777777" w:rsidR="00966B24" w:rsidRPr="000739B1" w:rsidRDefault="00966B24" w:rsidP="00966B24">
      <w:pPr>
        <w:pStyle w:val="ListParagraph"/>
        <w:ind w:left="709"/>
        <w:jc w:val="both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8307"/>
      </w:tblGrid>
      <w:tr w:rsidR="00966B24" w:rsidRPr="000739B1" w14:paraId="45753F45" w14:textId="77777777" w:rsidTr="00756E7B">
        <w:tc>
          <w:tcPr>
            <w:tcW w:w="9016" w:type="dxa"/>
          </w:tcPr>
          <w:p w14:paraId="61CE613D" w14:textId="77777777" w:rsidR="00966B24" w:rsidRPr="000739B1" w:rsidRDefault="00966B24" w:rsidP="00756E7B">
            <w:pPr>
              <w:pStyle w:val="ListParagraph"/>
              <w:ind w:left="0"/>
              <w:jc w:val="both"/>
              <w:rPr>
                <w:rFonts w:asciiTheme="majorHAnsi" w:hAnsiTheme="majorHAnsi" w:cstheme="majorHAnsi"/>
              </w:rPr>
            </w:pPr>
            <w:r w:rsidRPr="000739B1">
              <w:rPr>
                <w:rFonts w:asciiTheme="majorHAnsi" w:hAnsiTheme="majorHAnsi" w:cstheme="majorHAnsi"/>
                <w:noProof/>
              </w:rPr>
              <w:lastRenderedPageBreak/>
              <w:drawing>
                <wp:inline distT="0" distB="0" distL="0" distR="0" wp14:anchorId="0B5060FB" wp14:editId="25A53C5A">
                  <wp:extent cx="4461425" cy="5181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299" cy="519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09194D" w14:textId="77777777" w:rsidR="00966B24" w:rsidRPr="000739B1" w:rsidRDefault="00966B24" w:rsidP="00966B24">
      <w:pPr>
        <w:pStyle w:val="ListParagraph"/>
        <w:ind w:left="709"/>
        <w:jc w:val="both"/>
        <w:rPr>
          <w:rFonts w:asciiTheme="majorHAnsi" w:hAnsiTheme="majorHAnsi" w:cstheme="majorHAnsi"/>
        </w:rPr>
      </w:pPr>
    </w:p>
    <w:p w14:paraId="7E1C73A3" w14:textId="77777777" w:rsidR="00966B24" w:rsidRPr="000739B1" w:rsidRDefault="00966B24" w:rsidP="00966B24">
      <w:pPr>
        <w:pStyle w:val="ListParagraph"/>
        <w:ind w:left="709"/>
        <w:jc w:val="both"/>
        <w:rPr>
          <w:rFonts w:asciiTheme="majorHAnsi" w:hAnsiTheme="majorHAnsi" w:cstheme="majorHAnsi"/>
        </w:rPr>
      </w:pPr>
    </w:p>
    <w:p w14:paraId="4D497DBA" w14:textId="55689D79" w:rsidR="00966B24" w:rsidRDefault="00966B24" w:rsidP="00A90A0A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Given that the Government and the Coroner's Court agree that death </w:t>
      </w:r>
      <w:r w:rsidR="00F303BB">
        <w:rPr>
          <w:rFonts w:asciiTheme="majorHAnsi" w:hAnsiTheme="majorHAnsi" w:cstheme="majorHAnsi"/>
        </w:rPr>
        <w:t xml:space="preserve">following </w:t>
      </w:r>
      <w:r>
        <w:rPr>
          <w:rFonts w:asciiTheme="majorHAnsi" w:hAnsiTheme="majorHAnsi" w:cstheme="majorHAnsi"/>
        </w:rPr>
        <w:t>the vaccination may occur up to 93 days after the administration of the vaccine, every SADS death should be investigate</w:t>
      </w:r>
      <w:r w:rsidR="00F303BB">
        <w:rPr>
          <w:rFonts w:asciiTheme="majorHAnsi" w:hAnsiTheme="majorHAnsi" w:cstheme="majorHAnsi"/>
        </w:rPr>
        <w:t>d</w:t>
      </w:r>
      <w:r w:rsidR="00A90A0A">
        <w:rPr>
          <w:rFonts w:asciiTheme="majorHAnsi" w:hAnsiTheme="majorHAnsi" w:cstheme="majorHAnsi"/>
        </w:rPr>
        <w:t xml:space="preserve"> </w:t>
      </w:r>
      <w:r w:rsidRPr="00A90A0A">
        <w:rPr>
          <w:rFonts w:asciiTheme="majorHAnsi" w:hAnsiTheme="majorHAnsi" w:cstheme="majorHAnsi"/>
        </w:rPr>
        <w:t>to preserve the integrity of the coronial system</w:t>
      </w:r>
      <w:r w:rsidR="00F303BB">
        <w:rPr>
          <w:rFonts w:asciiTheme="majorHAnsi" w:hAnsiTheme="majorHAnsi" w:cstheme="majorHAnsi"/>
        </w:rPr>
        <w:t xml:space="preserve">. </w:t>
      </w:r>
    </w:p>
    <w:p w14:paraId="114E0867" w14:textId="77777777" w:rsidR="00F303BB" w:rsidRDefault="00F303BB" w:rsidP="00F303BB">
      <w:pPr>
        <w:pStyle w:val="ListParagraph"/>
        <w:spacing w:line="360" w:lineRule="auto"/>
        <w:ind w:left="567"/>
        <w:rPr>
          <w:rFonts w:asciiTheme="majorHAnsi" w:hAnsiTheme="majorHAnsi" w:cstheme="majorHAnsi"/>
        </w:rPr>
      </w:pPr>
    </w:p>
    <w:p w14:paraId="3E972C74" w14:textId="77777777" w:rsidR="00966B24" w:rsidRDefault="00966B24" w:rsidP="00966B24">
      <w:pPr>
        <w:pStyle w:val="ListParagraph"/>
        <w:spacing w:line="360" w:lineRule="auto"/>
        <w:ind w:left="567"/>
        <w:rPr>
          <w:rFonts w:asciiTheme="majorHAnsi" w:hAnsiTheme="majorHAnsi" w:cstheme="majorHAnsi"/>
        </w:rPr>
      </w:pPr>
      <w:r w:rsidRPr="0055206D">
        <w:rPr>
          <w:rFonts w:asciiTheme="majorHAnsi" w:hAnsiTheme="majorHAnsi" w:cstheme="majorHAnsi"/>
        </w:rPr>
        <w:t xml:space="preserve">Yours sincerely </w:t>
      </w:r>
    </w:p>
    <w:p w14:paraId="48912925" w14:textId="77777777" w:rsidR="00966B24" w:rsidRDefault="00966B24" w:rsidP="00966B24">
      <w:pPr>
        <w:pStyle w:val="ListParagraph"/>
        <w:spacing w:line="360" w:lineRule="auto"/>
        <w:ind w:left="567"/>
        <w:rPr>
          <w:rFonts w:asciiTheme="majorHAnsi" w:hAnsiTheme="majorHAnsi" w:cstheme="majorHAnsi"/>
        </w:rPr>
      </w:pPr>
    </w:p>
    <w:p w14:paraId="03E44377" w14:textId="6BAC5404" w:rsidR="00966B24" w:rsidRPr="0055206D" w:rsidRDefault="00966B24" w:rsidP="00966B24">
      <w:pPr>
        <w:pStyle w:val="ListParagraph"/>
        <w:spacing w:line="360" w:lineRule="auto"/>
        <w:ind w:left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</w:t>
      </w:r>
      <w:r w:rsidRPr="00966B24">
        <w:rPr>
          <w:rFonts w:asciiTheme="majorHAnsi" w:hAnsiTheme="majorHAnsi" w:cstheme="majorHAnsi"/>
          <w:highlight w:val="yellow"/>
        </w:rPr>
        <w:t>Name</w:t>
      </w:r>
      <w:r>
        <w:rPr>
          <w:rFonts w:asciiTheme="majorHAnsi" w:hAnsiTheme="majorHAnsi" w:cstheme="majorHAnsi"/>
        </w:rPr>
        <w:t xml:space="preserve">] </w:t>
      </w:r>
      <w:r w:rsidRPr="0055206D">
        <w:rPr>
          <w:rFonts w:asciiTheme="majorHAnsi" w:hAnsiTheme="majorHAnsi" w:cstheme="majorHAnsi"/>
        </w:rPr>
        <w:t xml:space="preserve"> </w:t>
      </w:r>
    </w:p>
    <w:bookmarkEnd w:id="0"/>
    <w:p w14:paraId="21B27FED" w14:textId="66BC1400" w:rsidR="00496BCF" w:rsidRPr="00496BCF" w:rsidRDefault="00496BCF" w:rsidP="00496BCF"/>
    <w:sectPr w:rsidR="00496BCF" w:rsidRPr="00496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B089" w14:textId="77777777" w:rsidR="00654720" w:rsidRDefault="00654720" w:rsidP="00966B24">
      <w:pPr>
        <w:spacing w:after="0" w:line="240" w:lineRule="auto"/>
      </w:pPr>
      <w:r>
        <w:separator/>
      </w:r>
    </w:p>
  </w:endnote>
  <w:endnote w:type="continuationSeparator" w:id="0">
    <w:p w14:paraId="743CF036" w14:textId="77777777" w:rsidR="00654720" w:rsidRDefault="00654720" w:rsidP="0096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64D9" w14:textId="77777777" w:rsidR="00654720" w:rsidRDefault="00654720" w:rsidP="00966B24">
      <w:pPr>
        <w:spacing w:after="0" w:line="240" w:lineRule="auto"/>
      </w:pPr>
      <w:r>
        <w:separator/>
      </w:r>
    </w:p>
  </w:footnote>
  <w:footnote w:type="continuationSeparator" w:id="0">
    <w:p w14:paraId="1AF4F482" w14:textId="77777777" w:rsidR="00654720" w:rsidRDefault="00654720" w:rsidP="00966B24">
      <w:pPr>
        <w:spacing w:after="0" w:line="240" w:lineRule="auto"/>
      </w:pPr>
      <w:r>
        <w:continuationSeparator/>
      </w:r>
    </w:p>
  </w:footnote>
  <w:footnote w:id="1">
    <w:p w14:paraId="553D0F8B" w14:textId="77777777" w:rsidR="00966B24" w:rsidRPr="0055206D" w:rsidRDefault="00966B24" w:rsidP="00966B24">
      <w:pPr>
        <w:pStyle w:val="FootnoteText"/>
        <w:rPr>
          <w:sz w:val="16"/>
          <w:szCs w:val="16"/>
        </w:rPr>
      </w:pPr>
      <w:r w:rsidRPr="007E7754">
        <w:rPr>
          <w:rStyle w:val="FootnoteReference"/>
          <w:sz w:val="16"/>
          <w:szCs w:val="16"/>
        </w:rPr>
        <w:footnoteRef/>
      </w:r>
      <w:r w:rsidRPr="007E7754">
        <w:rPr>
          <w:sz w:val="16"/>
          <w:szCs w:val="16"/>
        </w:rPr>
        <w:t xml:space="preserve"> </w:t>
      </w:r>
      <w:hyperlink r:id="rId1" w:history="1">
        <w:r w:rsidRPr="007E7754">
          <w:rPr>
            <w:rStyle w:val="Hyperlink"/>
            <w:sz w:val="16"/>
            <w:szCs w:val="16"/>
          </w:rPr>
          <w:t>https://ec.europa.eu/eurostat/web/products-eurostat-news/-/ddn-20220916-1</w:t>
        </w:r>
      </w:hyperlink>
    </w:p>
  </w:footnote>
  <w:footnote w:id="2">
    <w:p w14:paraId="03E901DF" w14:textId="77777777" w:rsidR="00966B24" w:rsidRPr="007E7754" w:rsidRDefault="00966B24" w:rsidP="00966B24">
      <w:pPr>
        <w:pStyle w:val="FootnoteText"/>
        <w:rPr>
          <w:sz w:val="16"/>
          <w:szCs w:val="16"/>
        </w:rPr>
      </w:pPr>
      <w:r w:rsidRPr="007E7754">
        <w:rPr>
          <w:rStyle w:val="FootnoteReference"/>
          <w:sz w:val="16"/>
          <w:szCs w:val="16"/>
        </w:rPr>
        <w:footnoteRef/>
      </w:r>
      <w:r w:rsidRPr="007E7754">
        <w:rPr>
          <w:sz w:val="16"/>
          <w:szCs w:val="16"/>
        </w:rPr>
        <w:t xml:space="preserve"> </w:t>
      </w:r>
      <w:hyperlink r:id="rId2" w:history="1">
        <w:r w:rsidRPr="007E7754">
          <w:rPr>
            <w:rStyle w:val="Hyperlink"/>
            <w:sz w:val="16"/>
            <w:szCs w:val="16"/>
          </w:rPr>
          <w:t>https://www.nzcpr.com/best-in-show/</w:t>
        </w:r>
      </w:hyperlink>
    </w:p>
    <w:p w14:paraId="1CF9751F" w14:textId="77777777" w:rsidR="00966B24" w:rsidRDefault="00966B24" w:rsidP="00966B2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73F"/>
    <w:multiLevelType w:val="hybridMultilevel"/>
    <w:tmpl w:val="3F34388A"/>
    <w:lvl w:ilvl="0" w:tplc="FFFFFFFF">
      <w:start w:val="1"/>
      <w:numFmt w:val="lowerLetter"/>
      <w:lvlText w:val="(%1)"/>
      <w:lvlJc w:val="left"/>
      <w:pPr>
        <w:ind w:left="11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049B4B8D"/>
    <w:multiLevelType w:val="hybridMultilevel"/>
    <w:tmpl w:val="1C0E83BA"/>
    <w:lvl w:ilvl="0" w:tplc="D7627006">
      <w:start w:val="2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214" w:hanging="360"/>
      </w:pPr>
    </w:lvl>
    <w:lvl w:ilvl="2" w:tplc="1409001B" w:tentative="1">
      <w:start w:val="1"/>
      <w:numFmt w:val="lowerRoman"/>
      <w:lvlText w:val="%3."/>
      <w:lvlJc w:val="right"/>
      <w:pPr>
        <w:ind w:left="2934" w:hanging="180"/>
      </w:pPr>
    </w:lvl>
    <w:lvl w:ilvl="3" w:tplc="1409000F" w:tentative="1">
      <w:start w:val="1"/>
      <w:numFmt w:val="decimal"/>
      <w:lvlText w:val="%4."/>
      <w:lvlJc w:val="left"/>
      <w:pPr>
        <w:ind w:left="3654" w:hanging="360"/>
      </w:pPr>
    </w:lvl>
    <w:lvl w:ilvl="4" w:tplc="14090019" w:tentative="1">
      <w:start w:val="1"/>
      <w:numFmt w:val="lowerLetter"/>
      <w:lvlText w:val="%5."/>
      <w:lvlJc w:val="left"/>
      <w:pPr>
        <w:ind w:left="4374" w:hanging="360"/>
      </w:pPr>
    </w:lvl>
    <w:lvl w:ilvl="5" w:tplc="1409001B" w:tentative="1">
      <w:start w:val="1"/>
      <w:numFmt w:val="lowerRoman"/>
      <w:lvlText w:val="%6."/>
      <w:lvlJc w:val="right"/>
      <w:pPr>
        <w:ind w:left="5094" w:hanging="180"/>
      </w:pPr>
    </w:lvl>
    <w:lvl w:ilvl="6" w:tplc="1409000F" w:tentative="1">
      <w:start w:val="1"/>
      <w:numFmt w:val="decimal"/>
      <w:lvlText w:val="%7."/>
      <w:lvlJc w:val="left"/>
      <w:pPr>
        <w:ind w:left="5814" w:hanging="360"/>
      </w:pPr>
    </w:lvl>
    <w:lvl w:ilvl="7" w:tplc="14090019" w:tentative="1">
      <w:start w:val="1"/>
      <w:numFmt w:val="lowerLetter"/>
      <w:lvlText w:val="%8."/>
      <w:lvlJc w:val="left"/>
      <w:pPr>
        <w:ind w:left="6534" w:hanging="360"/>
      </w:pPr>
    </w:lvl>
    <w:lvl w:ilvl="8" w:tplc="1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D0C42EC"/>
    <w:multiLevelType w:val="hybridMultilevel"/>
    <w:tmpl w:val="3F34388A"/>
    <w:lvl w:ilvl="0" w:tplc="2EA00BC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810A62"/>
    <w:multiLevelType w:val="hybridMultilevel"/>
    <w:tmpl w:val="3F34388A"/>
    <w:lvl w:ilvl="0" w:tplc="FFFFFFFF">
      <w:start w:val="1"/>
      <w:numFmt w:val="lowerLetter"/>
      <w:lvlText w:val="(%1)"/>
      <w:lvlJc w:val="left"/>
      <w:pPr>
        <w:ind w:left="11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 w15:restartNumberingAfterBreak="0">
    <w:nsid w:val="413C6985"/>
    <w:multiLevelType w:val="hybridMultilevel"/>
    <w:tmpl w:val="3F34388A"/>
    <w:lvl w:ilvl="0" w:tplc="FFFFFFFF">
      <w:start w:val="1"/>
      <w:numFmt w:val="lowerLetter"/>
      <w:lvlText w:val="(%1)"/>
      <w:lvlJc w:val="left"/>
      <w:pPr>
        <w:ind w:left="11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 w15:restartNumberingAfterBreak="0">
    <w:nsid w:val="4CB75D68"/>
    <w:multiLevelType w:val="hybridMultilevel"/>
    <w:tmpl w:val="3F34388A"/>
    <w:lvl w:ilvl="0" w:tplc="FFFFFFFF">
      <w:start w:val="1"/>
      <w:numFmt w:val="lowerLetter"/>
      <w:lvlText w:val="(%1)"/>
      <w:lvlJc w:val="left"/>
      <w:pPr>
        <w:ind w:left="11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 w15:restartNumberingAfterBreak="0">
    <w:nsid w:val="4D5904A4"/>
    <w:multiLevelType w:val="hybridMultilevel"/>
    <w:tmpl w:val="159EC442"/>
    <w:lvl w:ilvl="0" w:tplc="C48E22D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E06D1"/>
    <w:multiLevelType w:val="hybridMultilevel"/>
    <w:tmpl w:val="18B06816"/>
    <w:lvl w:ilvl="0" w:tplc="B6849B9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52D5E"/>
    <w:multiLevelType w:val="hybridMultilevel"/>
    <w:tmpl w:val="F888114C"/>
    <w:lvl w:ilvl="0" w:tplc="D22EBF86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C0436"/>
    <w:multiLevelType w:val="hybridMultilevel"/>
    <w:tmpl w:val="3F34388A"/>
    <w:lvl w:ilvl="0" w:tplc="FFFFFFFF">
      <w:start w:val="1"/>
      <w:numFmt w:val="lowerLetter"/>
      <w:lvlText w:val="(%1)"/>
      <w:lvlJc w:val="left"/>
      <w:pPr>
        <w:ind w:left="11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num w:numId="1" w16cid:durableId="566185573">
    <w:abstractNumId w:val="6"/>
  </w:num>
  <w:num w:numId="2" w16cid:durableId="945385812">
    <w:abstractNumId w:val="7"/>
  </w:num>
  <w:num w:numId="3" w16cid:durableId="1621454976">
    <w:abstractNumId w:val="2"/>
  </w:num>
  <w:num w:numId="4" w16cid:durableId="842864934">
    <w:abstractNumId w:val="8"/>
  </w:num>
  <w:num w:numId="5" w16cid:durableId="1923366094">
    <w:abstractNumId w:val="1"/>
  </w:num>
  <w:num w:numId="6" w16cid:durableId="1499618009">
    <w:abstractNumId w:val="3"/>
  </w:num>
  <w:num w:numId="7" w16cid:durableId="35198826">
    <w:abstractNumId w:val="0"/>
  </w:num>
  <w:num w:numId="8" w16cid:durableId="2132506275">
    <w:abstractNumId w:val="5"/>
  </w:num>
  <w:num w:numId="9" w16cid:durableId="737094958">
    <w:abstractNumId w:val="4"/>
  </w:num>
  <w:num w:numId="10" w16cid:durableId="9831263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1MTczsDAwNzUyMjZW0lEKTi0uzszPAykwrAUAI4XL4CwAAAA="/>
  </w:docVars>
  <w:rsids>
    <w:rsidRoot w:val="00496BCF"/>
    <w:rsid w:val="00496BCF"/>
    <w:rsid w:val="00654720"/>
    <w:rsid w:val="00966B24"/>
    <w:rsid w:val="00A90A0A"/>
    <w:rsid w:val="00D51CF4"/>
    <w:rsid w:val="00F3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0A4FF"/>
  <w15:chartTrackingRefBased/>
  <w15:docId w15:val="{5C07C439-EBFA-4FC5-B1E3-B7BED699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B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6B2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66B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6B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66B24"/>
    <w:rPr>
      <w:vertAlign w:val="superscript"/>
    </w:rPr>
  </w:style>
  <w:style w:type="table" w:styleId="TableGrid">
    <w:name w:val="Table Grid"/>
    <w:basedOn w:val="TableNormal"/>
    <w:uiPriority w:val="39"/>
    <w:rsid w:val="00966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66B24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zcpr.com/best-in-show/" TargetMode="External"/><Relationship Id="rId1" Type="http://schemas.openxmlformats.org/officeDocument/2006/relationships/hyperlink" Target="https://ec.europa.eu/eurostat/web/products-eurostat-news/-/ddn-20220916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453</Words>
  <Characters>2407</Characters>
  <Application>Microsoft Office Word</Application>
  <DocSecurity>0</DocSecurity>
  <Lines>481</Lines>
  <Paragraphs>219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Murfitt</dc:creator>
  <cp:keywords/>
  <dc:description/>
  <cp:lastModifiedBy>Kirsten Murfitt</cp:lastModifiedBy>
  <cp:revision>5</cp:revision>
  <dcterms:created xsi:type="dcterms:W3CDTF">2022-09-25T02:46:00Z</dcterms:created>
  <dcterms:modified xsi:type="dcterms:W3CDTF">2022-09-25T03:42:00Z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647c5d8d-ce9c-4d5f-ba50-7f4bd5c9007d</vt:lpwstr>
  </property>
</Properties>
</file>